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DFBA" w14:textId="77777777" w:rsidR="00024536" w:rsidRDefault="001F2C74" w:rsidP="00764FB9">
      <w:pPr>
        <w:pStyle w:val="MSUES"/>
        <w:jc w:val="center"/>
        <w:rPr>
          <w:rFonts w:ascii="Calibri" w:hAnsi="Calibri"/>
          <w:color w:val="4A442A"/>
          <w:sz w:val="36"/>
          <w:szCs w:val="36"/>
        </w:rPr>
      </w:pPr>
      <w:r w:rsidRPr="006D0B98">
        <w:rPr>
          <w:noProof/>
        </w:rPr>
        <w:drawing>
          <wp:inline distT="0" distB="0" distL="0" distR="0" wp14:anchorId="20AE1050" wp14:editId="50B47DFD">
            <wp:extent cx="3619500" cy="728980"/>
            <wp:effectExtent l="0" t="0" r="0" b="0"/>
            <wp:docPr id="1" name="Picture 3" descr="Macintosh HD:Users:scummings:Desktop:Logos:NAEPSD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cummings:Desktop:Logos:NAEPSDP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086FC" w14:textId="77777777" w:rsidR="00764FB9" w:rsidRPr="00024536" w:rsidRDefault="00764FB9" w:rsidP="00764FB9">
      <w:pPr>
        <w:pStyle w:val="MSUES"/>
        <w:rPr>
          <w:rFonts w:ascii="Calibri" w:hAnsi="Calibri"/>
        </w:rPr>
      </w:pPr>
    </w:p>
    <w:p w14:paraId="12875607" w14:textId="77777777" w:rsidR="00024536" w:rsidRPr="00D637BD" w:rsidRDefault="00024536" w:rsidP="00024536">
      <w:pPr>
        <w:pStyle w:val="MSUES"/>
        <w:jc w:val="center"/>
        <w:rPr>
          <w:rFonts w:ascii="Calibri" w:hAnsi="Calibri"/>
          <w:b/>
          <w:noProof/>
          <w:color w:val="4A442A"/>
          <w:sz w:val="32"/>
          <w:szCs w:val="32"/>
        </w:rPr>
      </w:pPr>
      <w:r w:rsidRPr="00D637BD">
        <w:rPr>
          <w:rFonts w:ascii="Calibri" w:hAnsi="Calibri"/>
          <w:b/>
          <w:noProof/>
          <w:color w:val="4A442A"/>
          <w:sz w:val="32"/>
          <w:szCs w:val="32"/>
        </w:rPr>
        <w:t>Annual Plan of Work</w:t>
      </w:r>
    </w:p>
    <w:p w14:paraId="6CFC1445" w14:textId="5B1F1A3A" w:rsidR="00024536" w:rsidRDefault="00794650" w:rsidP="00024536">
      <w:pPr>
        <w:pStyle w:val="MSUES"/>
        <w:jc w:val="center"/>
        <w:rPr>
          <w:rFonts w:ascii="Calibri" w:hAnsi="Calibri"/>
          <w:b/>
          <w:noProof/>
          <w:color w:val="4A442A"/>
          <w:sz w:val="32"/>
          <w:szCs w:val="32"/>
        </w:rPr>
      </w:pPr>
      <w:r>
        <w:rPr>
          <w:rFonts w:ascii="Calibri" w:hAnsi="Calibri"/>
          <w:b/>
          <w:noProof/>
          <w:color w:val="4A442A"/>
          <w:sz w:val="32"/>
          <w:szCs w:val="32"/>
        </w:rPr>
        <w:t>January</w:t>
      </w:r>
      <w:r w:rsidR="00024536" w:rsidRPr="00D637BD">
        <w:rPr>
          <w:rFonts w:ascii="Calibri" w:hAnsi="Calibri"/>
          <w:b/>
          <w:noProof/>
          <w:color w:val="4A442A"/>
          <w:sz w:val="32"/>
          <w:szCs w:val="32"/>
        </w:rPr>
        <w:t xml:space="preserve"> 1, </w:t>
      </w:r>
      <w:r w:rsidR="002A5749">
        <w:rPr>
          <w:rFonts w:ascii="Calibri" w:hAnsi="Calibri"/>
          <w:b/>
          <w:noProof/>
          <w:color w:val="4A442A"/>
          <w:sz w:val="32"/>
          <w:szCs w:val="32"/>
        </w:rPr>
        <w:t>20</w:t>
      </w:r>
      <w:r w:rsidR="007C2023">
        <w:rPr>
          <w:rFonts w:ascii="Calibri" w:hAnsi="Calibri"/>
          <w:b/>
          <w:noProof/>
          <w:color w:val="4A442A"/>
          <w:sz w:val="32"/>
          <w:szCs w:val="32"/>
        </w:rPr>
        <w:t>2</w:t>
      </w:r>
      <w:r w:rsidR="00A15A72">
        <w:rPr>
          <w:rFonts w:ascii="Calibri" w:hAnsi="Calibri"/>
          <w:b/>
          <w:noProof/>
          <w:color w:val="4A442A"/>
          <w:sz w:val="32"/>
          <w:szCs w:val="32"/>
        </w:rPr>
        <w:t>3</w:t>
      </w:r>
      <w:r w:rsidR="00024536" w:rsidRPr="00D637BD">
        <w:rPr>
          <w:rFonts w:ascii="Calibri" w:hAnsi="Calibri"/>
          <w:b/>
          <w:noProof/>
          <w:color w:val="4A442A"/>
          <w:sz w:val="32"/>
          <w:szCs w:val="32"/>
        </w:rPr>
        <w:t xml:space="preserve"> – </w:t>
      </w:r>
      <w:r>
        <w:rPr>
          <w:rFonts w:ascii="Calibri" w:hAnsi="Calibri"/>
          <w:b/>
          <w:noProof/>
          <w:color w:val="4A442A"/>
          <w:sz w:val="32"/>
          <w:szCs w:val="32"/>
        </w:rPr>
        <w:t>December</w:t>
      </w:r>
      <w:r w:rsidR="00024536" w:rsidRPr="00D637BD">
        <w:rPr>
          <w:rFonts w:ascii="Calibri" w:hAnsi="Calibri"/>
          <w:b/>
          <w:noProof/>
          <w:color w:val="4A442A"/>
          <w:sz w:val="32"/>
          <w:szCs w:val="32"/>
        </w:rPr>
        <w:t xml:space="preserve"> 31, 20</w:t>
      </w:r>
      <w:r w:rsidR="007C2023">
        <w:rPr>
          <w:rFonts w:ascii="Calibri" w:hAnsi="Calibri"/>
          <w:b/>
          <w:noProof/>
          <w:color w:val="4A442A"/>
          <w:sz w:val="32"/>
          <w:szCs w:val="32"/>
        </w:rPr>
        <w:t>2</w:t>
      </w:r>
      <w:r w:rsidR="00A15A72">
        <w:rPr>
          <w:rFonts w:ascii="Calibri" w:hAnsi="Calibri"/>
          <w:b/>
          <w:noProof/>
          <w:color w:val="4A442A"/>
          <w:sz w:val="32"/>
          <w:szCs w:val="32"/>
        </w:rPr>
        <w:t>3</w:t>
      </w:r>
    </w:p>
    <w:p w14:paraId="1DA29115" w14:textId="77777777" w:rsidR="00B1046D" w:rsidRDefault="00B1046D" w:rsidP="00024536">
      <w:pPr>
        <w:pStyle w:val="MSUES"/>
        <w:jc w:val="center"/>
        <w:rPr>
          <w:rFonts w:ascii="Calibri" w:hAnsi="Calibri"/>
          <w:b/>
          <w:noProof/>
          <w:color w:val="4A442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4"/>
        <w:gridCol w:w="9736"/>
      </w:tblGrid>
      <w:tr w:rsidR="00A91A6D" w:rsidRPr="00375359" w14:paraId="41AAD469" w14:textId="77777777" w:rsidTr="00DC0A51">
        <w:trPr>
          <w:trHeight w:val="579"/>
        </w:trPr>
        <w:tc>
          <w:tcPr>
            <w:tcW w:w="4158" w:type="dxa"/>
            <w:shd w:val="clear" w:color="auto" w:fill="EEECE1"/>
          </w:tcPr>
          <w:p w14:paraId="00A48968" w14:textId="77777777" w:rsidR="00A91A6D" w:rsidRDefault="00A91A6D" w:rsidP="00D2291E">
            <w:pPr>
              <w:pStyle w:val="MSUES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Committee Name</w:t>
            </w:r>
            <w:r w:rsidR="00DC0A51">
              <w:rPr>
                <w:rFonts w:ascii="Calibri" w:hAnsi="Calibri"/>
              </w:rPr>
              <w:t>:</w:t>
            </w:r>
          </w:p>
          <w:p w14:paraId="433805CA" w14:textId="77777777" w:rsidR="00DC0A51" w:rsidRPr="00DC0A51" w:rsidRDefault="00DC0A51" w:rsidP="00D2291E">
            <w:pPr>
              <w:pStyle w:val="MSUES"/>
              <w:rPr>
                <w:rFonts w:ascii="Calibri" w:hAnsi="Calibri"/>
                <w:b/>
                <w:sz w:val="28"/>
                <w:szCs w:val="28"/>
              </w:rPr>
            </w:pPr>
            <w:r w:rsidRPr="00DC0A51">
              <w:rPr>
                <w:rFonts w:ascii="Calibri" w:hAnsi="Calibri"/>
                <w:b/>
                <w:sz w:val="28"/>
                <w:szCs w:val="28"/>
              </w:rPr>
              <w:t>Awards</w:t>
            </w:r>
            <w:r w:rsidR="007F7D4F">
              <w:rPr>
                <w:rFonts w:ascii="Calibri" w:hAnsi="Calibri"/>
                <w:b/>
                <w:sz w:val="28"/>
                <w:szCs w:val="28"/>
              </w:rPr>
              <w:t xml:space="preserve"> &amp; Recognition</w:t>
            </w:r>
            <w:r w:rsidRPr="00DC0A51">
              <w:rPr>
                <w:rFonts w:ascii="Calibri" w:hAnsi="Calibri"/>
                <w:b/>
                <w:sz w:val="28"/>
                <w:szCs w:val="28"/>
              </w:rPr>
              <w:t xml:space="preserve"> Committee</w:t>
            </w:r>
          </w:p>
          <w:p w14:paraId="5742FA43" w14:textId="77777777" w:rsidR="00A91A6D" w:rsidRPr="00375359" w:rsidRDefault="00A91A6D" w:rsidP="00D2291E">
            <w:pPr>
              <w:pStyle w:val="MSUES"/>
              <w:rPr>
                <w:rFonts w:ascii="Calibri" w:hAnsi="Calibri"/>
              </w:rPr>
            </w:pPr>
          </w:p>
        </w:tc>
        <w:tc>
          <w:tcPr>
            <w:tcW w:w="9886" w:type="dxa"/>
          </w:tcPr>
          <w:p w14:paraId="3F87C683" w14:textId="77777777" w:rsidR="00A91A6D" w:rsidRDefault="00DC0A51" w:rsidP="00DC0A51">
            <w:pPr>
              <w:pStyle w:val="MSUES"/>
              <w:rPr>
                <w:rFonts w:ascii="Calibri" w:hAnsi="Calibri"/>
                <w:b/>
                <w:szCs w:val="24"/>
              </w:rPr>
            </w:pPr>
            <w:r w:rsidRPr="00DC0A51">
              <w:rPr>
                <w:rFonts w:ascii="Calibri" w:hAnsi="Calibri"/>
                <w:b/>
                <w:szCs w:val="24"/>
              </w:rPr>
              <w:t xml:space="preserve">Members: </w:t>
            </w:r>
          </w:p>
          <w:p w14:paraId="0B217068" w14:textId="2FC4E843" w:rsidR="00825AE0" w:rsidRDefault="00735217" w:rsidP="00DC0A51">
            <w:pPr>
              <w:pStyle w:val="MSUES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Jeremy Elliott-Engel</w:t>
            </w:r>
            <w:r w:rsidR="00825AE0">
              <w:rPr>
                <w:rFonts w:ascii="Calibri" w:hAnsi="Calibri"/>
                <w:szCs w:val="24"/>
              </w:rPr>
              <w:t>, Chair (Western Region)</w:t>
            </w:r>
          </w:p>
          <w:p w14:paraId="00225F33" w14:textId="352C535E" w:rsidR="00735217" w:rsidRPr="00DC0A51" w:rsidRDefault="00A15A72" w:rsidP="008D5D7B">
            <w:pPr>
              <w:pStyle w:val="MSUES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Lisa Kaslon, Co-Chair (NC Region)</w:t>
            </w:r>
            <w:r w:rsidR="004558B7">
              <w:rPr>
                <w:rFonts w:ascii="Calibri" w:hAnsi="Calibri"/>
                <w:szCs w:val="24"/>
              </w:rPr>
              <w:t xml:space="preserve"> </w:t>
            </w:r>
            <w:r w:rsidR="00845618">
              <w:rPr>
                <w:rFonts w:ascii="Calibri" w:hAnsi="Calibri"/>
                <w:szCs w:val="24"/>
              </w:rPr>
              <w:t>Rich Polling (Southern Region)</w:t>
            </w:r>
          </w:p>
        </w:tc>
      </w:tr>
    </w:tbl>
    <w:p w14:paraId="51A3926B" w14:textId="77777777" w:rsidR="00794650" w:rsidRDefault="00794650" w:rsidP="00B1046D">
      <w:pPr>
        <w:pStyle w:val="MSUES"/>
        <w:rPr>
          <w:rFonts w:ascii="Calibri" w:hAnsi="Calibri"/>
          <w:b/>
          <w:noProof/>
          <w:color w:val="4A442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4"/>
        <w:gridCol w:w="9716"/>
      </w:tblGrid>
      <w:tr w:rsidR="007A4B3F" w:rsidRPr="00375359" w14:paraId="6113E40C" w14:textId="77777777" w:rsidTr="007A4B3F">
        <w:trPr>
          <w:tblHeader/>
        </w:trPr>
        <w:tc>
          <w:tcPr>
            <w:tcW w:w="4158" w:type="dxa"/>
            <w:shd w:val="clear" w:color="auto" w:fill="EEECE1"/>
          </w:tcPr>
          <w:p w14:paraId="0B34E5AC" w14:textId="77777777" w:rsidR="007A4B3F" w:rsidRDefault="007A4B3F" w:rsidP="008C1FE0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provide a brief scope of work of the committee</w:t>
            </w:r>
            <w:r w:rsidR="008C1FE0">
              <w:rPr>
                <w:rFonts w:ascii="Calibri" w:hAnsi="Calibri"/>
              </w:rPr>
              <w:t>.</w:t>
            </w:r>
          </w:p>
        </w:tc>
        <w:tc>
          <w:tcPr>
            <w:tcW w:w="9783" w:type="dxa"/>
            <w:shd w:val="clear" w:color="auto" w:fill="FFFFFF"/>
          </w:tcPr>
          <w:p w14:paraId="075B9FF3" w14:textId="77777777" w:rsidR="007A4B3F" w:rsidRPr="00EF74BE" w:rsidRDefault="004C0EC1" w:rsidP="00256216">
            <w:r>
              <w:rPr>
                <w:sz w:val="24"/>
                <w:szCs w:val="24"/>
              </w:rPr>
              <w:t xml:space="preserve">The Awards &amp; Recognition Committee is responsible for identifying and recognizing outstanding contributions by NAEPSDP members to the association and the profession. The committee’s key responsibilities include identifying and promoting awards </w:t>
            </w:r>
            <w:r w:rsidR="00256216">
              <w:rPr>
                <w:sz w:val="24"/>
                <w:szCs w:val="24"/>
              </w:rPr>
              <w:t xml:space="preserve">and other forms of recognition </w:t>
            </w:r>
            <w:r>
              <w:rPr>
                <w:sz w:val="24"/>
                <w:szCs w:val="24"/>
              </w:rPr>
              <w:t>for which members are eligible</w:t>
            </w:r>
            <w:r w:rsidR="0025621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reviewing </w:t>
            </w:r>
            <w:r w:rsidR="00256216">
              <w:rPr>
                <w:sz w:val="24"/>
                <w:szCs w:val="24"/>
              </w:rPr>
              <w:t xml:space="preserve">and selecting </w:t>
            </w:r>
            <w:r>
              <w:rPr>
                <w:sz w:val="24"/>
                <w:szCs w:val="24"/>
              </w:rPr>
              <w:t>applicants</w:t>
            </w:r>
            <w:r w:rsidR="00256216">
              <w:rPr>
                <w:sz w:val="24"/>
                <w:szCs w:val="24"/>
              </w:rPr>
              <w:t>; presenting selected applicants to the board for review;</w:t>
            </w:r>
            <w:r>
              <w:rPr>
                <w:sz w:val="24"/>
                <w:szCs w:val="24"/>
              </w:rPr>
              <w:t xml:space="preserve"> and recognizing winners at the annual meeting. The Committee is made up of a Committee Chair, a Co-Chair, and committee members representing a broad cross-section of the paid membership of the association, including former award recipients when feasible. The Committee works closely with the Board, Regional Representatives and members to identify deserving individuals. </w:t>
            </w:r>
          </w:p>
        </w:tc>
      </w:tr>
    </w:tbl>
    <w:p w14:paraId="53209818" w14:textId="77777777" w:rsidR="00692120" w:rsidRDefault="00692120" w:rsidP="00B1046D">
      <w:pPr>
        <w:pStyle w:val="MSUES"/>
        <w:rPr>
          <w:rFonts w:ascii="Calibri" w:hAnsi="Calibri"/>
          <w:b/>
          <w:noProof/>
          <w:color w:val="4A442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5"/>
        <w:gridCol w:w="4195"/>
        <w:gridCol w:w="2411"/>
        <w:gridCol w:w="1413"/>
      </w:tblGrid>
      <w:tr w:rsidR="007D7061" w:rsidRPr="00375359" w14:paraId="47F36718" w14:textId="77777777" w:rsidTr="007D7061">
        <w:trPr>
          <w:tblHeader/>
        </w:trPr>
        <w:tc>
          <w:tcPr>
            <w:tcW w:w="5215" w:type="dxa"/>
            <w:shd w:val="clear" w:color="auto" w:fill="EEECE1"/>
          </w:tcPr>
          <w:p w14:paraId="2477B49A" w14:textId="77777777" w:rsidR="007D7061" w:rsidRPr="00375359" w:rsidRDefault="007D7061" w:rsidP="00375359">
            <w:pPr>
              <w:pStyle w:val="MSUE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Specific </w:t>
            </w:r>
            <w:r w:rsidRPr="00375359">
              <w:rPr>
                <w:rFonts w:ascii="Calibri" w:hAnsi="Calibri"/>
              </w:rPr>
              <w:t>Item to Accomplish</w:t>
            </w:r>
          </w:p>
          <w:p w14:paraId="1F58304B" w14:textId="77777777" w:rsidR="007D7061" w:rsidRPr="00375359" w:rsidRDefault="007D7061" w:rsidP="00375359">
            <w:pPr>
              <w:pStyle w:val="MSUES"/>
              <w:jc w:val="center"/>
              <w:rPr>
                <w:rFonts w:ascii="Calibri" w:hAnsi="Calibri"/>
              </w:rPr>
            </w:pPr>
          </w:p>
        </w:tc>
        <w:tc>
          <w:tcPr>
            <w:tcW w:w="4195" w:type="dxa"/>
            <w:shd w:val="clear" w:color="auto" w:fill="EEECE1"/>
          </w:tcPr>
          <w:p w14:paraId="15417781" w14:textId="77777777" w:rsidR="007D7061" w:rsidRPr="00375359" w:rsidRDefault="007D7061" w:rsidP="00375359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Responsibility</w:t>
            </w:r>
          </w:p>
          <w:p w14:paraId="0B924391" w14:textId="77777777" w:rsidR="007D7061" w:rsidRPr="00375359" w:rsidRDefault="007D7061" w:rsidP="00375359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(Names of people assigned to item)</w:t>
            </w:r>
          </w:p>
        </w:tc>
        <w:tc>
          <w:tcPr>
            <w:tcW w:w="2411" w:type="dxa"/>
            <w:shd w:val="clear" w:color="auto" w:fill="EEECE1"/>
          </w:tcPr>
          <w:p w14:paraId="0536D1E5" w14:textId="77777777" w:rsidR="007D7061" w:rsidRPr="00375359" w:rsidRDefault="007D7061" w:rsidP="00375359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Key Contact</w:t>
            </w:r>
          </w:p>
          <w:p w14:paraId="231EE4DB" w14:textId="77777777" w:rsidR="007D7061" w:rsidRPr="00375359" w:rsidRDefault="007D7061" w:rsidP="00375359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(Person who will serve as a key contact for item)</w:t>
            </w:r>
          </w:p>
        </w:tc>
        <w:tc>
          <w:tcPr>
            <w:tcW w:w="1413" w:type="dxa"/>
            <w:shd w:val="clear" w:color="auto" w:fill="EEECE1"/>
          </w:tcPr>
          <w:p w14:paraId="733E74E8" w14:textId="77777777" w:rsidR="007D7061" w:rsidRPr="00375359" w:rsidRDefault="007D7061" w:rsidP="00375359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Goal Date</w:t>
            </w:r>
          </w:p>
          <w:p w14:paraId="3E17CFD5" w14:textId="77777777" w:rsidR="007D7061" w:rsidRPr="00375359" w:rsidRDefault="007D7061" w:rsidP="00375359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(Anticipated completion date)</w:t>
            </w:r>
          </w:p>
        </w:tc>
      </w:tr>
      <w:tr w:rsidR="00A15A72" w:rsidRPr="00375359" w14:paraId="7B3A1B7A" w14:textId="77777777" w:rsidTr="007D7061">
        <w:tc>
          <w:tcPr>
            <w:tcW w:w="5215" w:type="dxa"/>
          </w:tcPr>
          <w:p w14:paraId="6F2FE0CF" w14:textId="573F53F7" w:rsidR="00A15A72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Create Awards Committee 202</w:t>
            </w:r>
            <w:r w:rsidR="004558B7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 Work Plan </w:t>
            </w:r>
          </w:p>
        </w:tc>
        <w:tc>
          <w:tcPr>
            <w:tcW w:w="4195" w:type="dxa"/>
          </w:tcPr>
          <w:p w14:paraId="1AD05CF0" w14:textId="444D36CB" w:rsidR="00A15A72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Elliott-Engel &amp; Kaslon</w:t>
            </w:r>
          </w:p>
        </w:tc>
        <w:tc>
          <w:tcPr>
            <w:tcW w:w="2411" w:type="dxa"/>
          </w:tcPr>
          <w:p w14:paraId="468A20DA" w14:textId="48B26BF9" w:rsidR="00A15A72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Elliott-Engel &amp; Kaslon</w:t>
            </w:r>
          </w:p>
        </w:tc>
        <w:tc>
          <w:tcPr>
            <w:tcW w:w="1413" w:type="dxa"/>
          </w:tcPr>
          <w:p w14:paraId="3C1B37D8" w14:textId="18988886" w:rsidR="00A15A72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March 1</w:t>
            </w:r>
          </w:p>
        </w:tc>
      </w:tr>
      <w:tr w:rsidR="00A15A72" w:rsidRPr="00375359" w14:paraId="7B1C02CC" w14:textId="77777777" w:rsidTr="007D7061">
        <w:tc>
          <w:tcPr>
            <w:tcW w:w="5215" w:type="dxa"/>
          </w:tcPr>
          <w:p w14:paraId="513EDEE7" w14:textId="77777777" w:rsidR="00A15A72" w:rsidRPr="00375359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  <w:szCs w:val="24"/>
              </w:rPr>
              <w:t>Update web site as needed</w:t>
            </w:r>
            <w:r w:rsidRPr="002A2B64">
              <w:rPr>
                <w:rFonts w:ascii="Calibri" w:hAnsi="Calibri" w:cs="Arial"/>
                <w:bCs/>
                <w:szCs w:val="24"/>
              </w:rPr>
              <w:t xml:space="preserve"> with details for the awards </w:t>
            </w:r>
            <w:r>
              <w:rPr>
                <w:rFonts w:ascii="Calibri" w:hAnsi="Calibri" w:cs="Arial"/>
                <w:bCs/>
                <w:szCs w:val="24"/>
              </w:rPr>
              <w:t>(i.e</w:t>
            </w:r>
            <w:r w:rsidRPr="002A2B64">
              <w:rPr>
                <w:rFonts w:ascii="Calibri" w:hAnsi="Calibri" w:cs="Arial"/>
                <w:bCs/>
                <w:szCs w:val="24"/>
              </w:rPr>
              <w:t>.</w:t>
            </w:r>
            <w:r>
              <w:rPr>
                <w:rFonts w:ascii="Calibri" w:hAnsi="Calibri" w:cs="Arial"/>
                <w:bCs/>
                <w:szCs w:val="24"/>
              </w:rPr>
              <w:t xml:space="preserve"> description of awards and qualifications, nomination form and process for submitting nominations)</w:t>
            </w:r>
            <w:r w:rsidRPr="00DD0C9D">
              <w:rPr>
                <w:rFonts w:ascii="Arial" w:hAnsi="Arial" w:cs="Arial"/>
                <w:b/>
                <w:bCs/>
                <w:color w:val="14417A"/>
                <w:sz w:val="26"/>
                <w:szCs w:val="26"/>
              </w:rPr>
              <w:br w:type="page"/>
            </w:r>
          </w:p>
        </w:tc>
        <w:tc>
          <w:tcPr>
            <w:tcW w:w="4195" w:type="dxa"/>
          </w:tcPr>
          <w:p w14:paraId="73FA3714" w14:textId="60DAA341" w:rsidR="00A15A72" w:rsidRPr="00375359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Elliott-Engel &amp; Kaslon</w:t>
            </w:r>
          </w:p>
        </w:tc>
        <w:tc>
          <w:tcPr>
            <w:tcW w:w="2411" w:type="dxa"/>
          </w:tcPr>
          <w:p w14:paraId="6120016F" w14:textId="1ED9A165" w:rsidR="00A15A72" w:rsidRPr="00375359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Elliott-Engel &amp; Kaslon</w:t>
            </w:r>
          </w:p>
        </w:tc>
        <w:tc>
          <w:tcPr>
            <w:tcW w:w="1413" w:type="dxa"/>
          </w:tcPr>
          <w:p w14:paraId="23E3F33E" w14:textId="5D5932D9" w:rsidR="00A15A72" w:rsidRPr="00375359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March 28</w:t>
            </w:r>
          </w:p>
        </w:tc>
      </w:tr>
      <w:tr w:rsidR="00A15A72" w:rsidRPr="00375359" w14:paraId="4D74C02D" w14:textId="77777777" w:rsidTr="007D7061">
        <w:tc>
          <w:tcPr>
            <w:tcW w:w="5215" w:type="dxa"/>
          </w:tcPr>
          <w:p w14:paraId="3CEB8D7B" w14:textId="1EB6A7F2" w:rsidR="00A15A72" w:rsidRPr="001B1978" w:rsidRDefault="00A15A72" w:rsidP="00A15A72">
            <w:pPr>
              <w:pStyle w:val="MSUES"/>
              <w:rPr>
                <w:rFonts w:asciiTheme="minorHAnsi" w:hAnsiTheme="minorHAnsi" w:cstheme="minorHAnsi"/>
                <w:szCs w:val="24"/>
              </w:rPr>
            </w:pPr>
            <w:r w:rsidRPr="001B1978">
              <w:rPr>
                <w:rFonts w:asciiTheme="minorHAnsi" w:hAnsiTheme="minorHAnsi" w:cstheme="minorHAnsi"/>
                <w:bCs/>
                <w:szCs w:val="24"/>
              </w:rPr>
              <w:t>Contact regional representatives and committee members to encourage them to identify nominees for awards</w:t>
            </w:r>
          </w:p>
        </w:tc>
        <w:tc>
          <w:tcPr>
            <w:tcW w:w="4195" w:type="dxa"/>
          </w:tcPr>
          <w:p w14:paraId="339F8066" w14:textId="6055A409" w:rsidR="00A15A72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committee members</w:t>
            </w:r>
          </w:p>
        </w:tc>
        <w:tc>
          <w:tcPr>
            <w:tcW w:w="2411" w:type="dxa"/>
          </w:tcPr>
          <w:p w14:paraId="090DA54C" w14:textId="06846402" w:rsidR="00A15A72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Elliott-Engel &amp; Kaslon</w:t>
            </w:r>
          </w:p>
        </w:tc>
        <w:tc>
          <w:tcPr>
            <w:tcW w:w="1413" w:type="dxa"/>
          </w:tcPr>
          <w:p w14:paraId="6B8AF8B9" w14:textId="47263AAC" w:rsidR="00A15A72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June 1</w:t>
            </w:r>
          </w:p>
        </w:tc>
      </w:tr>
      <w:tr w:rsidR="00A15A72" w:rsidRPr="00375359" w14:paraId="45C793F6" w14:textId="77777777" w:rsidTr="007D7061">
        <w:tc>
          <w:tcPr>
            <w:tcW w:w="5215" w:type="dxa"/>
          </w:tcPr>
          <w:p w14:paraId="7CA4500E" w14:textId="7D8B2C45" w:rsidR="00A15A72" w:rsidRPr="00990BCD" w:rsidRDefault="00A15A72" w:rsidP="00A15A72">
            <w:pPr>
              <w:pStyle w:val="MSUES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Distribute</w:t>
            </w:r>
            <w:r w:rsidRPr="00990BCD">
              <w:rPr>
                <w:rFonts w:ascii="Calibri" w:hAnsi="Calibri"/>
                <w:szCs w:val="24"/>
              </w:rPr>
              <w:t xml:space="preserve"> cal</w:t>
            </w:r>
            <w:r>
              <w:rPr>
                <w:rFonts w:ascii="Calibri" w:hAnsi="Calibri"/>
                <w:szCs w:val="24"/>
              </w:rPr>
              <w:t>l</w:t>
            </w:r>
            <w:r w:rsidRPr="00990BCD">
              <w:rPr>
                <w:rFonts w:ascii="Calibri" w:hAnsi="Calibri"/>
                <w:szCs w:val="24"/>
              </w:rPr>
              <w:t xml:space="preserve"> for </w:t>
            </w:r>
            <w:r>
              <w:rPr>
                <w:rFonts w:ascii="Calibri" w:hAnsi="Calibri"/>
                <w:szCs w:val="24"/>
              </w:rPr>
              <w:t xml:space="preserve">award </w:t>
            </w:r>
            <w:r w:rsidRPr="00990BCD">
              <w:rPr>
                <w:rFonts w:ascii="Calibri" w:hAnsi="Calibri"/>
                <w:szCs w:val="24"/>
              </w:rPr>
              <w:t xml:space="preserve">nominations </w:t>
            </w:r>
            <w:r>
              <w:rPr>
                <w:rFonts w:ascii="Calibri" w:hAnsi="Calibri"/>
                <w:szCs w:val="24"/>
              </w:rPr>
              <w:t xml:space="preserve">from committee </w:t>
            </w:r>
          </w:p>
        </w:tc>
        <w:tc>
          <w:tcPr>
            <w:tcW w:w="4195" w:type="dxa"/>
          </w:tcPr>
          <w:p w14:paraId="46A02458" w14:textId="68ECDF3F" w:rsidR="00A15A72" w:rsidRPr="00375359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Elliott-Engel &amp; Kaslon</w:t>
            </w:r>
          </w:p>
        </w:tc>
        <w:tc>
          <w:tcPr>
            <w:tcW w:w="2411" w:type="dxa"/>
          </w:tcPr>
          <w:p w14:paraId="089F162B" w14:textId="2DC34CAD" w:rsidR="00A15A72" w:rsidRPr="00375359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Elliott-Engel &amp; Kaslon</w:t>
            </w:r>
          </w:p>
        </w:tc>
        <w:tc>
          <w:tcPr>
            <w:tcW w:w="1413" w:type="dxa"/>
          </w:tcPr>
          <w:p w14:paraId="5A222D10" w14:textId="7B146FD5" w:rsidR="00A15A72" w:rsidRPr="00375359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July 31</w:t>
            </w:r>
          </w:p>
        </w:tc>
      </w:tr>
      <w:tr w:rsidR="00A15A72" w:rsidRPr="00375359" w14:paraId="31214C71" w14:textId="77777777" w:rsidTr="007D7061">
        <w:trPr>
          <w:trHeight w:val="350"/>
        </w:trPr>
        <w:tc>
          <w:tcPr>
            <w:tcW w:w="5215" w:type="dxa"/>
          </w:tcPr>
          <w:p w14:paraId="75EF10BA" w14:textId="6FDD96C6" w:rsidR="00A15A72" w:rsidRPr="00990BCD" w:rsidRDefault="00A15A72" w:rsidP="00A15A7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Distribute three sequential reminders to membership.</w:t>
            </w:r>
          </w:p>
        </w:tc>
        <w:tc>
          <w:tcPr>
            <w:tcW w:w="4195" w:type="dxa"/>
          </w:tcPr>
          <w:p w14:paraId="6F619D6A" w14:textId="17FB833D" w:rsidR="00A15A72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Elliott-Engel &amp; Kaslon</w:t>
            </w:r>
          </w:p>
        </w:tc>
        <w:tc>
          <w:tcPr>
            <w:tcW w:w="2411" w:type="dxa"/>
          </w:tcPr>
          <w:p w14:paraId="0EE0D071" w14:textId="28E4A704" w:rsidR="00A15A72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Elliott-Engel &amp; Kaslon</w:t>
            </w:r>
          </w:p>
        </w:tc>
        <w:tc>
          <w:tcPr>
            <w:tcW w:w="1413" w:type="dxa"/>
          </w:tcPr>
          <w:p w14:paraId="61A925F0" w14:textId="6BDEC501" w:rsidR="00A15A72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8, 15, and 22</w:t>
            </w:r>
          </w:p>
        </w:tc>
      </w:tr>
      <w:tr w:rsidR="00A15A72" w:rsidRPr="00375359" w14:paraId="5EE0D812" w14:textId="77777777" w:rsidTr="007D7061">
        <w:trPr>
          <w:trHeight w:val="350"/>
        </w:trPr>
        <w:tc>
          <w:tcPr>
            <w:tcW w:w="5215" w:type="dxa"/>
          </w:tcPr>
          <w:p w14:paraId="14841E36" w14:textId="51B3E5FE" w:rsidR="00A15A72" w:rsidRPr="00990BCD" w:rsidRDefault="00A15A72" w:rsidP="00A15A7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Create nominee application reports for reviewers</w:t>
            </w:r>
          </w:p>
        </w:tc>
        <w:tc>
          <w:tcPr>
            <w:tcW w:w="4195" w:type="dxa"/>
          </w:tcPr>
          <w:p w14:paraId="2B87A8ED" w14:textId="71362075" w:rsidR="00A15A72" w:rsidRPr="00375359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Elliott-Engel &amp; Kaslon</w:t>
            </w:r>
          </w:p>
        </w:tc>
        <w:tc>
          <w:tcPr>
            <w:tcW w:w="2411" w:type="dxa"/>
          </w:tcPr>
          <w:p w14:paraId="0E68657E" w14:textId="3B969DD1" w:rsidR="00A15A72" w:rsidRPr="00375359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Elliott-Engel &amp; Kaslon</w:t>
            </w:r>
          </w:p>
        </w:tc>
        <w:tc>
          <w:tcPr>
            <w:tcW w:w="1413" w:type="dxa"/>
          </w:tcPr>
          <w:p w14:paraId="560A3AA2" w14:textId="7DADD360" w:rsidR="00A15A72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29</w:t>
            </w:r>
          </w:p>
        </w:tc>
      </w:tr>
      <w:tr w:rsidR="00A15A72" w:rsidRPr="00375359" w14:paraId="21C7D003" w14:textId="77777777" w:rsidTr="007D7061">
        <w:trPr>
          <w:trHeight w:val="350"/>
        </w:trPr>
        <w:tc>
          <w:tcPr>
            <w:tcW w:w="5215" w:type="dxa"/>
          </w:tcPr>
          <w:p w14:paraId="72CE0B6B" w14:textId="6F28A72C" w:rsidR="00A15A72" w:rsidRPr="00990BCD" w:rsidRDefault="00A15A72" w:rsidP="00A15A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instructions, timeline, and scoring material to reviewers</w:t>
            </w:r>
          </w:p>
        </w:tc>
        <w:tc>
          <w:tcPr>
            <w:tcW w:w="4195" w:type="dxa"/>
          </w:tcPr>
          <w:p w14:paraId="659902C0" w14:textId="7953CA63" w:rsidR="00A15A72" w:rsidRPr="00375359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Elliott-Engel &amp; Kaslon</w:t>
            </w:r>
          </w:p>
        </w:tc>
        <w:tc>
          <w:tcPr>
            <w:tcW w:w="2411" w:type="dxa"/>
          </w:tcPr>
          <w:p w14:paraId="3A0B7BC2" w14:textId="5AAD53B3" w:rsidR="00A15A72" w:rsidRPr="00375359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Elliott-Engel &amp; Kaslon</w:t>
            </w:r>
          </w:p>
        </w:tc>
        <w:tc>
          <w:tcPr>
            <w:tcW w:w="1413" w:type="dxa"/>
          </w:tcPr>
          <w:p w14:paraId="65978C8E" w14:textId="7D4BF914" w:rsidR="00A15A72" w:rsidRPr="00375359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7</w:t>
            </w:r>
          </w:p>
        </w:tc>
      </w:tr>
      <w:tr w:rsidR="00A15A72" w:rsidRPr="00375359" w14:paraId="3EFE3A7A" w14:textId="77777777" w:rsidTr="007D7061">
        <w:trPr>
          <w:trHeight w:val="350"/>
        </w:trPr>
        <w:tc>
          <w:tcPr>
            <w:tcW w:w="5215" w:type="dxa"/>
          </w:tcPr>
          <w:p w14:paraId="0983D43E" w14:textId="3576F19C" w:rsidR="00A15A72" w:rsidRPr="00990BCD" w:rsidRDefault="00A15A72" w:rsidP="00A15A7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R</w:t>
            </w:r>
            <w:r w:rsidRPr="002A2B64">
              <w:rPr>
                <w:rFonts w:cs="Arial"/>
                <w:bCs/>
                <w:sz w:val="24"/>
                <w:szCs w:val="24"/>
              </w:rPr>
              <w:t xml:space="preserve">eview </w:t>
            </w:r>
            <w:r>
              <w:rPr>
                <w:rFonts w:cs="Arial"/>
                <w:bCs/>
                <w:sz w:val="24"/>
                <w:szCs w:val="24"/>
              </w:rPr>
              <w:t>nominees for NAEPSDP Outstanding Contributor Award, Past Presidents’ Early Career Award, Excellence in Extension Staff Development Award. Notify Board of award recipients</w:t>
            </w:r>
          </w:p>
        </w:tc>
        <w:tc>
          <w:tcPr>
            <w:tcW w:w="4195" w:type="dxa"/>
          </w:tcPr>
          <w:p w14:paraId="21720E24" w14:textId="77777777" w:rsidR="00A15A72" w:rsidRPr="00375359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committee members</w:t>
            </w:r>
          </w:p>
        </w:tc>
        <w:tc>
          <w:tcPr>
            <w:tcW w:w="2411" w:type="dxa"/>
          </w:tcPr>
          <w:p w14:paraId="2F9536B9" w14:textId="2249C288" w:rsidR="00A15A72" w:rsidRPr="00375359" w:rsidRDefault="004558B7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Elliott-Engel &amp; Kaslon</w:t>
            </w:r>
          </w:p>
        </w:tc>
        <w:tc>
          <w:tcPr>
            <w:tcW w:w="1413" w:type="dxa"/>
          </w:tcPr>
          <w:p w14:paraId="0A61212A" w14:textId="439CD2E1" w:rsidR="00A15A72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7-October 2</w:t>
            </w:r>
          </w:p>
        </w:tc>
      </w:tr>
      <w:tr w:rsidR="00A15A72" w:rsidRPr="00375359" w14:paraId="2757439D" w14:textId="77777777" w:rsidTr="007D7061">
        <w:trPr>
          <w:trHeight w:val="350"/>
        </w:trPr>
        <w:tc>
          <w:tcPr>
            <w:tcW w:w="5215" w:type="dxa"/>
          </w:tcPr>
          <w:p w14:paraId="3A1625D9" w14:textId="16949701" w:rsidR="00A15A72" w:rsidRPr="002A2B64" w:rsidRDefault="00A15A72" w:rsidP="00A15A7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Notify NAEPSDP and JCEP awards recipients so that they can make plans to attend the Annual Meeting to receive their awards</w:t>
            </w:r>
          </w:p>
        </w:tc>
        <w:tc>
          <w:tcPr>
            <w:tcW w:w="4195" w:type="dxa"/>
          </w:tcPr>
          <w:p w14:paraId="7EB6D344" w14:textId="063E65CA" w:rsidR="00A15A72" w:rsidRPr="00375359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Elliott-Engel &amp; Kaslon</w:t>
            </w:r>
          </w:p>
        </w:tc>
        <w:tc>
          <w:tcPr>
            <w:tcW w:w="2411" w:type="dxa"/>
          </w:tcPr>
          <w:p w14:paraId="46D3C4F3" w14:textId="50B94E1B" w:rsidR="00A15A72" w:rsidRPr="00375359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Elliott-Engel &amp; Kaslon</w:t>
            </w:r>
          </w:p>
        </w:tc>
        <w:tc>
          <w:tcPr>
            <w:tcW w:w="1413" w:type="dxa"/>
          </w:tcPr>
          <w:p w14:paraId="453771D3" w14:textId="71375457" w:rsidR="00A15A72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October 3</w:t>
            </w:r>
          </w:p>
        </w:tc>
      </w:tr>
      <w:tr w:rsidR="00A15A72" w:rsidRPr="00375359" w14:paraId="719F7B41" w14:textId="77777777" w:rsidTr="007D7061">
        <w:trPr>
          <w:trHeight w:val="350"/>
        </w:trPr>
        <w:tc>
          <w:tcPr>
            <w:tcW w:w="5215" w:type="dxa"/>
          </w:tcPr>
          <w:p w14:paraId="59C9B33A" w14:textId="1F4A6E05" w:rsidR="00A15A72" w:rsidRDefault="00A15A72" w:rsidP="00A15A7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Notify JCEP of NAEPSDP’s selection for the Excellence in Staff Development Award</w:t>
            </w:r>
          </w:p>
        </w:tc>
        <w:tc>
          <w:tcPr>
            <w:tcW w:w="4195" w:type="dxa"/>
          </w:tcPr>
          <w:p w14:paraId="29EDA611" w14:textId="52A34046" w:rsidR="00A15A72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Elliott-Engel &amp; Kaslon</w:t>
            </w:r>
          </w:p>
        </w:tc>
        <w:tc>
          <w:tcPr>
            <w:tcW w:w="2411" w:type="dxa"/>
          </w:tcPr>
          <w:p w14:paraId="1D08A688" w14:textId="3CFA3EC9" w:rsidR="00A15A72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Elliott-Engel &amp; Kaslon</w:t>
            </w:r>
          </w:p>
        </w:tc>
        <w:tc>
          <w:tcPr>
            <w:tcW w:w="1413" w:type="dxa"/>
          </w:tcPr>
          <w:p w14:paraId="6FE96667" w14:textId="3B5AB386" w:rsidR="00A15A72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October 3</w:t>
            </w:r>
          </w:p>
        </w:tc>
      </w:tr>
      <w:tr w:rsidR="00A15A72" w:rsidRPr="00375359" w14:paraId="547A8A03" w14:textId="77777777" w:rsidTr="007D7061">
        <w:trPr>
          <w:trHeight w:val="350"/>
        </w:trPr>
        <w:tc>
          <w:tcPr>
            <w:tcW w:w="5215" w:type="dxa"/>
          </w:tcPr>
          <w:p w14:paraId="016A044D" w14:textId="77777777" w:rsidR="00A15A72" w:rsidRDefault="00A15A72" w:rsidP="00A15A7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Order awards</w:t>
            </w:r>
          </w:p>
        </w:tc>
        <w:tc>
          <w:tcPr>
            <w:tcW w:w="4195" w:type="dxa"/>
          </w:tcPr>
          <w:p w14:paraId="5B339CC4" w14:textId="743E9663" w:rsidR="00A15A72" w:rsidRPr="00375359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Elliott-Engel &amp; Kaslon</w:t>
            </w:r>
          </w:p>
        </w:tc>
        <w:tc>
          <w:tcPr>
            <w:tcW w:w="2411" w:type="dxa"/>
          </w:tcPr>
          <w:p w14:paraId="6611FE24" w14:textId="26EE7DA1" w:rsidR="00A15A72" w:rsidRPr="00375359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Elliott-Engel &amp; Kaslon</w:t>
            </w:r>
          </w:p>
        </w:tc>
        <w:tc>
          <w:tcPr>
            <w:tcW w:w="1413" w:type="dxa"/>
          </w:tcPr>
          <w:p w14:paraId="5B4FA8CE" w14:textId="767E0459" w:rsidR="00A15A72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October 3</w:t>
            </w:r>
          </w:p>
        </w:tc>
      </w:tr>
      <w:tr w:rsidR="00A15A72" w:rsidRPr="00375359" w14:paraId="3A513DC9" w14:textId="77777777" w:rsidTr="007D7061">
        <w:trPr>
          <w:trHeight w:val="350"/>
        </w:trPr>
        <w:tc>
          <w:tcPr>
            <w:tcW w:w="5215" w:type="dxa"/>
          </w:tcPr>
          <w:p w14:paraId="7C0D7D50" w14:textId="77777777" w:rsidR="00A15A72" w:rsidRDefault="00A15A72" w:rsidP="00A15A7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>Prepare for awards presentation at Annual Meeting</w:t>
            </w:r>
          </w:p>
        </w:tc>
        <w:tc>
          <w:tcPr>
            <w:tcW w:w="4195" w:type="dxa"/>
          </w:tcPr>
          <w:p w14:paraId="2C8D594E" w14:textId="7990E5DB" w:rsidR="00A15A72" w:rsidRPr="00375359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Elliott-Engel &amp; Kaslon</w:t>
            </w:r>
          </w:p>
        </w:tc>
        <w:tc>
          <w:tcPr>
            <w:tcW w:w="2411" w:type="dxa"/>
          </w:tcPr>
          <w:p w14:paraId="45A7C6E6" w14:textId="67156B7A" w:rsidR="00A15A72" w:rsidRPr="00375359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Elliott-Engel &amp; Kaslon</w:t>
            </w:r>
          </w:p>
        </w:tc>
        <w:tc>
          <w:tcPr>
            <w:tcW w:w="1413" w:type="dxa"/>
          </w:tcPr>
          <w:p w14:paraId="50863CEC" w14:textId="77777777" w:rsidR="00A15A72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November 15</w:t>
            </w:r>
          </w:p>
        </w:tc>
      </w:tr>
      <w:tr w:rsidR="00A15A72" w:rsidRPr="00375359" w14:paraId="79193B9D" w14:textId="77777777" w:rsidTr="007D7061">
        <w:trPr>
          <w:trHeight w:val="350"/>
        </w:trPr>
        <w:tc>
          <w:tcPr>
            <w:tcW w:w="5215" w:type="dxa"/>
          </w:tcPr>
          <w:p w14:paraId="2F30920F" w14:textId="77777777" w:rsidR="00A15A72" w:rsidRDefault="00A15A72" w:rsidP="00A15A7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05369">
              <w:rPr>
                <w:rFonts w:cs="Arial"/>
                <w:bCs/>
                <w:sz w:val="24"/>
                <w:szCs w:val="24"/>
                <w:highlight w:val="yellow"/>
              </w:rPr>
              <w:t>Present awards during Annual Meeting</w:t>
            </w:r>
          </w:p>
          <w:p w14:paraId="59BC09E1" w14:textId="07ADB023" w:rsidR="00A15A72" w:rsidRDefault="00A15A72" w:rsidP="00A15A7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*strategic plan item in recognizing outstanding members</w:t>
            </w:r>
          </w:p>
        </w:tc>
        <w:tc>
          <w:tcPr>
            <w:tcW w:w="4195" w:type="dxa"/>
          </w:tcPr>
          <w:p w14:paraId="1DD3EFFB" w14:textId="4F792A6C" w:rsidR="00A15A72" w:rsidRPr="00375359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Elliott-Engel &amp; Kaslon</w:t>
            </w:r>
          </w:p>
        </w:tc>
        <w:tc>
          <w:tcPr>
            <w:tcW w:w="2411" w:type="dxa"/>
          </w:tcPr>
          <w:p w14:paraId="66AA3198" w14:textId="0B97968A" w:rsidR="00A15A72" w:rsidRPr="00375359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Elliott-Engel &amp; Kaslon</w:t>
            </w:r>
          </w:p>
        </w:tc>
        <w:tc>
          <w:tcPr>
            <w:tcW w:w="1413" w:type="dxa"/>
          </w:tcPr>
          <w:p w14:paraId="2A3D8403" w14:textId="0CE277A0" w:rsidR="00A15A72" w:rsidRDefault="00A15A72" w:rsidP="00A15A72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1</w:t>
            </w:r>
          </w:p>
        </w:tc>
      </w:tr>
    </w:tbl>
    <w:p w14:paraId="5810E54D" w14:textId="77777777" w:rsidR="00ED6B9C" w:rsidRDefault="00ED6B9C" w:rsidP="00764FB9">
      <w:pPr>
        <w:pStyle w:val="MSUES"/>
        <w:rPr>
          <w:rFonts w:ascii="Calibri" w:hAnsi="Calibri"/>
        </w:rPr>
      </w:pPr>
    </w:p>
    <w:sectPr w:rsidR="00ED6B9C" w:rsidSect="00375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3B84" w14:textId="77777777" w:rsidR="00940C3C" w:rsidRPr="00723535" w:rsidRDefault="00940C3C" w:rsidP="00723535">
      <w:pPr>
        <w:pStyle w:val="MSUES"/>
        <w:rPr>
          <w:rFonts w:ascii="Calibri" w:hAnsi="Calibri"/>
          <w:sz w:val="22"/>
        </w:rPr>
      </w:pPr>
      <w:r>
        <w:separator/>
      </w:r>
    </w:p>
  </w:endnote>
  <w:endnote w:type="continuationSeparator" w:id="0">
    <w:p w14:paraId="464A3AF1" w14:textId="77777777" w:rsidR="00940C3C" w:rsidRPr="00723535" w:rsidRDefault="00940C3C" w:rsidP="00723535">
      <w:pPr>
        <w:pStyle w:val="MSUES"/>
        <w:rPr>
          <w:rFonts w:ascii="Calibri" w:hAnsi="Calibr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86B7" w14:textId="77777777" w:rsidR="00225D3F" w:rsidRDefault="00225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7625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B2793D7" w14:textId="77777777" w:rsidR="00225D3F" w:rsidRDefault="00225D3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44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444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5F6589" w14:textId="77777777" w:rsidR="00225D3F" w:rsidRDefault="00225D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85B3" w14:textId="77777777" w:rsidR="00225D3F" w:rsidRDefault="00225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1E006" w14:textId="77777777" w:rsidR="00940C3C" w:rsidRPr="00723535" w:rsidRDefault="00940C3C" w:rsidP="00723535">
      <w:pPr>
        <w:pStyle w:val="MSUES"/>
        <w:rPr>
          <w:rFonts w:ascii="Calibri" w:hAnsi="Calibri"/>
          <w:sz w:val="22"/>
        </w:rPr>
      </w:pPr>
      <w:r>
        <w:separator/>
      </w:r>
    </w:p>
  </w:footnote>
  <w:footnote w:type="continuationSeparator" w:id="0">
    <w:p w14:paraId="4435DF87" w14:textId="77777777" w:rsidR="00940C3C" w:rsidRPr="00723535" w:rsidRDefault="00940C3C" w:rsidP="00723535">
      <w:pPr>
        <w:pStyle w:val="MSUES"/>
        <w:rPr>
          <w:rFonts w:ascii="Calibri" w:hAnsi="Calibri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8FE1" w14:textId="77777777" w:rsidR="00225D3F" w:rsidRDefault="00225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2527" w14:textId="196E2DC1" w:rsidR="00225D3F" w:rsidRDefault="00225D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0B34" w14:textId="77777777" w:rsidR="00225D3F" w:rsidRDefault="00225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B57"/>
    <w:multiLevelType w:val="multilevel"/>
    <w:tmpl w:val="1A464B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7B6AA2"/>
    <w:multiLevelType w:val="hybridMultilevel"/>
    <w:tmpl w:val="249C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559265">
    <w:abstractNumId w:val="1"/>
  </w:num>
  <w:num w:numId="2" w16cid:durableId="77911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3NLI0tbA0Mjc2t7BQ0lEKTi0uzszPAykwqgUAh1vvkywAAAA="/>
  </w:docVars>
  <w:rsids>
    <w:rsidRoot w:val="00764FB9"/>
    <w:rsid w:val="0001141B"/>
    <w:rsid w:val="00023459"/>
    <w:rsid w:val="00024536"/>
    <w:rsid w:val="000449E4"/>
    <w:rsid w:val="000559CC"/>
    <w:rsid w:val="000578EC"/>
    <w:rsid w:val="00084DD4"/>
    <w:rsid w:val="000D6859"/>
    <w:rsid w:val="00120CA2"/>
    <w:rsid w:val="00140695"/>
    <w:rsid w:val="001B1978"/>
    <w:rsid w:val="001F2C74"/>
    <w:rsid w:val="001F2E09"/>
    <w:rsid w:val="00202F3D"/>
    <w:rsid w:val="00203AD3"/>
    <w:rsid w:val="00225D3F"/>
    <w:rsid w:val="00256216"/>
    <w:rsid w:val="002568E6"/>
    <w:rsid w:val="00270FAB"/>
    <w:rsid w:val="00273E9E"/>
    <w:rsid w:val="002755BF"/>
    <w:rsid w:val="00281416"/>
    <w:rsid w:val="002949F1"/>
    <w:rsid w:val="002A2B64"/>
    <w:rsid w:val="002A5749"/>
    <w:rsid w:val="002B6FBD"/>
    <w:rsid w:val="0034354D"/>
    <w:rsid w:val="00364201"/>
    <w:rsid w:val="00375359"/>
    <w:rsid w:val="00382CA3"/>
    <w:rsid w:val="003A30DB"/>
    <w:rsid w:val="003B499C"/>
    <w:rsid w:val="003F2D58"/>
    <w:rsid w:val="00407AF3"/>
    <w:rsid w:val="004558B7"/>
    <w:rsid w:val="004603F9"/>
    <w:rsid w:val="00485288"/>
    <w:rsid w:val="004A2573"/>
    <w:rsid w:val="004C0EC1"/>
    <w:rsid w:val="004C0FC4"/>
    <w:rsid w:val="004F4C11"/>
    <w:rsid w:val="00515D64"/>
    <w:rsid w:val="00517B20"/>
    <w:rsid w:val="00541C7E"/>
    <w:rsid w:val="00562A4A"/>
    <w:rsid w:val="0059421C"/>
    <w:rsid w:val="005969D5"/>
    <w:rsid w:val="005A340F"/>
    <w:rsid w:val="005E3B46"/>
    <w:rsid w:val="005F1440"/>
    <w:rsid w:val="00600C34"/>
    <w:rsid w:val="00620AF0"/>
    <w:rsid w:val="0064036A"/>
    <w:rsid w:val="0066175B"/>
    <w:rsid w:val="00662351"/>
    <w:rsid w:val="00664FA3"/>
    <w:rsid w:val="00665680"/>
    <w:rsid w:val="00675982"/>
    <w:rsid w:val="0067671C"/>
    <w:rsid w:val="00681299"/>
    <w:rsid w:val="00692120"/>
    <w:rsid w:val="006B050D"/>
    <w:rsid w:val="006B7BBF"/>
    <w:rsid w:val="006D4052"/>
    <w:rsid w:val="00707491"/>
    <w:rsid w:val="00710FDD"/>
    <w:rsid w:val="00720371"/>
    <w:rsid w:val="00723535"/>
    <w:rsid w:val="00726CBE"/>
    <w:rsid w:val="00735217"/>
    <w:rsid w:val="00764FB9"/>
    <w:rsid w:val="00792E40"/>
    <w:rsid w:val="00794650"/>
    <w:rsid w:val="007A13EE"/>
    <w:rsid w:val="007A3407"/>
    <w:rsid w:val="007A4B3F"/>
    <w:rsid w:val="007C2023"/>
    <w:rsid w:val="007D455E"/>
    <w:rsid w:val="007D7061"/>
    <w:rsid w:val="007E425C"/>
    <w:rsid w:val="007F7D4F"/>
    <w:rsid w:val="00825AE0"/>
    <w:rsid w:val="0084232E"/>
    <w:rsid w:val="00845618"/>
    <w:rsid w:val="0085042B"/>
    <w:rsid w:val="00892CBD"/>
    <w:rsid w:val="008B1B82"/>
    <w:rsid w:val="008C1FE0"/>
    <w:rsid w:val="008C5DB9"/>
    <w:rsid w:val="008D442C"/>
    <w:rsid w:val="008D5D7B"/>
    <w:rsid w:val="00901E45"/>
    <w:rsid w:val="00913F22"/>
    <w:rsid w:val="00940C3C"/>
    <w:rsid w:val="00946CAE"/>
    <w:rsid w:val="00952F05"/>
    <w:rsid w:val="00990BCD"/>
    <w:rsid w:val="009B3E19"/>
    <w:rsid w:val="009E3AC7"/>
    <w:rsid w:val="00A03B3B"/>
    <w:rsid w:val="00A15A72"/>
    <w:rsid w:val="00A20104"/>
    <w:rsid w:val="00A61562"/>
    <w:rsid w:val="00A63D9A"/>
    <w:rsid w:val="00A8450A"/>
    <w:rsid w:val="00A91A6D"/>
    <w:rsid w:val="00AA2F31"/>
    <w:rsid w:val="00AE7B6D"/>
    <w:rsid w:val="00AF202A"/>
    <w:rsid w:val="00B1046D"/>
    <w:rsid w:val="00B21474"/>
    <w:rsid w:val="00B55645"/>
    <w:rsid w:val="00B67DCE"/>
    <w:rsid w:val="00B80A1F"/>
    <w:rsid w:val="00B83082"/>
    <w:rsid w:val="00BA0470"/>
    <w:rsid w:val="00BA59A0"/>
    <w:rsid w:val="00BA5DBB"/>
    <w:rsid w:val="00BC1BE4"/>
    <w:rsid w:val="00BE1ADC"/>
    <w:rsid w:val="00C05369"/>
    <w:rsid w:val="00C164F7"/>
    <w:rsid w:val="00C34442"/>
    <w:rsid w:val="00C345BA"/>
    <w:rsid w:val="00C54A71"/>
    <w:rsid w:val="00C83A92"/>
    <w:rsid w:val="00C86DD2"/>
    <w:rsid w:val="00CB0972"/>
    <w:rsid w:val="00CB750D"/>
    <w:rsid w:val="00D2291E"/>
    <w:rsid w:val="00D26066"/>
    <w:rsid w:val="00D37C18"/>
    <w:rsid w:val="00D42082"/>
    <w:rsid w:val="00D445BC"/>
    <w:rsid w:val="00D637BD"/>
    <w:rsid w:val="00D65AD6"/>
    <w:rsid w:val="00DA1F99"/>
    <w:rsid w:val="00DC0A51"/>
    <w:rsid w:val="00DC719A"/>
    <w:rsid w:val="00DD0C9D"/>
    <w:rsid w:val="00DE5774"/>
    <w:rsid w:val="00E06595"/>
    <w:rsid w:val="00E54A88"/>
    <w:rsid w:val="00E55F93"/>
    <w:rsid w:val="00E7133F"/>
    <w:rsid w:val="00E80028"/>
    <w:rsid w:val="00EC5FF2"/>
    <w:rsid w:val="00ED6B9C"/>
    <w:rsid w:val="00EF5338"/>
    <w:rsid w:val="00EF74BE"/>
    <w:rsid w:val="00EF7AD2"/>
    <w:rsid w:val="00F13E7D"/>
    <w:rsid w:val="00F602EC"/>
    <w:rsid w:val="00F60E54"/>
    <w:rsid w:val="00F769B6"/>
    <w:rsid w:val="00F86B8F"/>
    <w:rsid w:val="00FA2486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7DD4C"/>
  <w15:chartTrackingRefBased/>
  <w15:docId w15:val="{C8AD42FD-A9CD-4969-A467-441B2A22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C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ES">
    <w:name w:val="MSUES"/>
    <w:basedOn w:val="NoSpacing"/>
    <w:qFormat/>
    <w:rsid w:val="00EF5338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EF5338"/>
    <w:rPr>
      <w:sz w:val="22"/>
      <w:szCs w:val="22"/>
    </w:rPr>
  </w:style>
  <w:style w:type="table" w:styleId="TableGrid">
    <w:name w:val="Table Grid"/>
    <w:basedOn w:val="TableNormal"/>
    <w:uiPriority w:val="59"/>
    <w:rsid w:val="00764F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C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35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5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35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35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353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2010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3055</CharactersWithSpaces>
  <SharedDoc>false</SharedDoc>
  <HLinks>
    <vt:vector size="6" baseType="variant">
      <vt:variant>
        <vt:i4>4128795</vt:i4>
      </vt:variant>
      <vt:variant>
        <vt:i4>0</vt:i4>
      </vt:variant>
      <vt:variant>
        <vt:i4>0</vt:i4>
      </vt:variant>
      <vt:variant>
        <vt:i4>5</vt:i4>
      </vt:variant>
      <vt:variant>
        <vt:lpwstr>mailto:kballard@uaex.edu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 Service</dc:creator>
  <cp:keywords/>
  <cp:lastModifiedBy>Gaston, Michelle</cp:lastModifiedBy>
  <cp:revision>3</cp:revision>
  <cp:lastPrinted>2014-03-20T19:55:00Z</cp:lastPrinted>
  <dcterms:created xsi:type="dcterms:W3CDTF">2023-04-06T16:53:00Z</dcterms:created>
  <dcterms:modified xsi:type="dcterms:W3CDTF">2023-04-06T20:09:00Z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ff679765158608a6f73eefd8f6229bab05a78ddc0c8226b25c4c4f215a9bf4bb</vt:lpwstr>
  </property>
</Properties>
</file>